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甲方：</w:t>
      </w:r>
      <w:r>
        <w:rPr>
          <w:rFonts w:hint="eastAsia" w:ascii="仿宋" w:hAnsi="仿宋" w:eastAsia="仿宋" w:cs="Arial"/>
          <w:color w:val="auto"/>
          <w:sz w:val="32"/>
          <w:szCs w:val="32"/>
          <w:lang w:val="en-US" w:eastAsia="zh-CN"/>
        </w:rPr>
        <w:t>博罗县杨侨镇人民政府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 许道荣</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地址：博罗县</w:t>
      </w:r>
      <w:r>
        <w:rPr>
          <w:rFonts w:hint="eastAsia" w:ascii="仿宋" w:hAnsi="仿宋" w:eastAsia="仿宋" w:cs="Arial"/>
          <w:color w:val="auto"/>
          <w:sz w:val="32"/>
          <w:szCs w:val="32"/>
          <w:lang w:val="en-US" w:eastAsia="zh-CN"/>
        </w:rPr>
        <w:t>杨桥镇</w:t>
      </w:r>
      <w:r>
        <w:rPr>
          <w:rFonts w:hint="eastAsia" w:ascii="仿宋" w:hAnsi="仿宋" w:eastAsia="仿宋" w:cs="Arial"/>
          <w:color w:val="auto"/>
          <w:sz w:val="32"/>
          <w:szCs w:val="32"/>
        </w:rPr>
        <w:t>杨侨大道99号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联系电话：0752-6690212</w:t>
      </w:r>
    </w:p>
    <w:p>
      <w:pPr>
        <w:pStyle w:val="2"/>
        <w:rPr>
          <w:rFonts w:hint="eastAsia"/>
          <w:lang w:eastAsia="zh-CN"/>
        </w:rPr>
      </w:pP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博罗县杨侨镇大坑办事处金龙围经济合作社地段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18023.2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博自然资（用地）挂字〔2023﹞22号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塑料零件及其他塑料制品制造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研发、生产、销售绝缘板、绝缘片、铜压件五金、新能源汽车车载产品等。   </w:t>
      </w:r>
    </w:p>
    <w:p>
      <w:pPr>
        <w:spacing w:line="240" w:lineRule="auto"/>
        <w:ind w:firstLine="640" w:firstLineChars="200"/>
        <w:rPr>
          <w:rFonts w:ascii="仿宋" w:hAnsi="仿宋" w:eastAsia="仿宋" w:cs="Arial"/>
          <w:color w:val="auto"/>
          <w:sz w:val="32"/>
          <w:szCs w:val="32"/>
        </w:rPr>
      </w:pPr>
      <w:bookmarkStart w:id="0" w:name="_GoBack"/>
      <w:bookmarkEnd w:id="0"/>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82552A6"/>
    <w:rsid w:val="08316DF2"/>
    <w:rsid w:val="08464B3C"/>
    <w:rsid w:val="08E7038B"/>
    <w:rsid w:val="099610F2"/>
    <w:rsid w:val="09C73C00"/>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F12CEC"/>
    <w:rsid w:val="4814319C"/>
    <w:rsid w:val="486205A1"/>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7CC274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433DC7"/>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AE8711B"/>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2988</Words>
  <Characters>3132</Characters>
  <Lines>14</Lines>
  <Paragraphs>4</Paragraphs>
  <TotalTime>8</TotalTime>
  <ScaleCrop>false</ScaleCrop>
  <LinksUpToDate>false</LinksUpToDate>
  <CharactersWithSpaces>3353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2023-03-03T09:13:27Z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